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По благословению высокопреосвященнейшего Алексия, митрополита Тульского и Ефремовского отдел по культуре Тульской епархии, Тульская Духовная Семинария и Тульское отделение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  <w:t xml:space="preserve">ИППО</w:t>
      </w:r>
    </w:p>
    <w:p>
      <w:pPr>
        <w:spacing w:before="0" w:after="36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проводят конкурс творческих работ</w:t>
      </w:r>
    </w:p>
    <w:p>
      <w:pPr>
        <w:tabs>
          <w:tab w:val="left" w:pos="1688" w:leader="none"/>
          <w:tab w:val="center" w:pos="4677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ЗАЩИТНИКИ РОДИНЫ. ПОДВИГИ НА ФРОНТЕ И В ТЫЛУ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»</w:t>
      </w:r>
    </w:p>
    <w:p>
      <w:pPr>
        <w:tabs>
          <w:tab w:val="left" w:pos="1688" w:leader="none"/>
          <w:tab w:val="center" w:pos="4677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1688" w:leader="none"/>
          <w:tab w:val="center" w:pos="4677" w:leader="none"/>
        </w:tabs>
        <w:spacing w:before="0" w:after="0" w:line="240"/>
        <w:ind w:right="0" w:left="54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tabs>
          <w:tab w:val="left" w:pos="1688" w:leader="none"/>
          <w:tab w:val="center" w:pos="4677" w:leader="none"/>
        </w:tabs>
        <w:spacing w:before="0" w:after="0" w:line="240"/>
        <w:ind w:right="0" w:left="54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Общие положения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Настоящее Положение о проведении конкурса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ЗАЩИТНИКИ РОДИНЫ. ПОДВИГИ НА ФРОНТЕ И В ТЫЛУ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  <w:t xml:space="preserve">»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далее - Конкурс) определяет порядок организации и условия проведения Конкурса, состав участников, критерии отбора работ, состав жюри, порядок награждения победителей и призеров.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Конкурс проводится в рамках мероприятий, приуроченных к 85-летию героической бороны Тулы осенью-зимой 1941 года и 50-летию присвоения Туле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почётного звания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 «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Город-Герой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».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Организаторами Конкурса являются:</w:t>
      </w:r>
    </w:p>
    <w:p>
      <w:pPr>
        <w:numPr>
          <w:ilvl w:val="0"/>
          <w:numId w:val="6"/>
        </w:num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отдел по культуре Тульской епархии;</w:t>
      </w:r>
    </w:p>
    <w:p>
      <w:pPr>
        <w:numPr>
          <w:ilvl w:val="0"/>
          <w:numId w:val="6"/>
        </w:num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Тульская Духовная Семинария;</w:t>
      </w:r>
    </w:p>
    <w:p>
      <w:pPr>
        <w:numPr>
          <w:ilvl w:val="0"/>
          <w:numId w:val="6"/>
        </w:num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Тульское отделение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Международной общественной организации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Императорское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 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Православное Палестинское Общество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»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ИППО);</w:t>
      </w:r>
    </w:p>
    <w:p>
      <w:pPr>
        <w:numPr>
          <w:ilvl w:val="0"/>
          <w:numId w:val="6"/>
        </w:num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епархиальный культурно-просветительский центр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Фавор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Основная тема Конкурса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  <w:t xml:space="preserve">-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Тульская оборонительная операция (24 октября - 5 декабря 1941 года) и события времен Великой Отечественной Войны.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Контактным лицом Организатора является Валуева Наталия Геннадьевна, телефон: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8(4872) 58-30-10,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адрес электронной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почты: </w:t>
      </w:r>
      <w:hyperlink xmlns:r="http://schemas.openxmlformats.org/officeDocument/2006/relationships" r:id="docRId0">
        <w:r>
          <w:rPr>
            <w:rFonts w:ascii="Times New Roman" w:hAnsi="Times New Roman" w:cs="Times New Roman" w:eastAsia="Times New Roman"/>
            <w:color w:val="000000"/>
            <w:spacing w:val="0"/>
            <w:position w:val="0"/>
            <w:sz w:val="28"/>
            <w:u w:val="single"/>
            <w:shd w:fill="FFFFFF" w:val="clear"/>
          </w:rPr>
          <w:t xml:space="preserve">natalija.valuewa@ya</w:t>
        </w:r>
        <w:r>
          <w:rPr>
            <w:rFonts w:ascii="Times New Roman" w:hAnsi="Times New Roman" w:cs="Times New Roman" w:eastAsia="Times New Roman"/>
            <w:vanish/>
            <w:color w:val="000000"/>
            <w:spacing w:val="0"/>
            <w:position w:val="0"/>
            <w:sz w:val="28"/>
            <w:u w:val="single"/>
            <w:shd w:fill="FFFFFF" w:val="clear"/>
          </w:rPr>
          <w:t xml:space="preserve">HYPERLINK "mailto:natalija.valuewa@yandex.ru"</w:t>
        </w:r>
        <w:r>
          <w:rPr>
            <w:rFonts w:ascii="Times New Roman" w:hAnsi="Times New Roman" w:cs="Times New Roman" w:eastAsia="Times New Roman"/>
            <w:color w:val="000000"/>
            <w:spacing w:val="0"/>
            <w:position w:val="0"/>
            <w:sz w:val="28"/>
            <w:u w:val="single"/>
            <w:shd w:fill="FFFFFF" w:val="clear"/>
          </w:rPr>
          <w:t xml:space="preserve">ndex</w:t>
        </w:r>
        <w:r>
          <w:rPr>
            <w:rFonts w:ascii="Times New Roman" w:hAnsi="Times New Roman" w:cs="Times New Roman" w:eastAsia="Times New Roman"/>
            <w:vanish/>
            <w:color w:val="000000"/>
            <w:spacing w:val="0"/>
            <w:position w:val="0"/>
            <w:sz w:val="28"/>
            <w:u w:val="single"/>
            <w:shd w:fill="FFFFFF" w:val="clear"/>
          </w:rPr>
          <w:t xml:space="preserve">HYPERLINK "mailto:natalija.valuewa@yandex.ru"</w:t>
        </w:r>
        <w:r>
          <w:rPr>
            <w:rFonts w:ascii="Times New Roman" w:hAnsi="Times New Roman" w:cs="Times New Roman" w:eastAsia="Times New Roman"/>
            <w:color w:val="000000"/>
            <w:spacing w:val="0"/>
            <w:position w:val="0"/>
            <w:sz w:val="28"/>
            <w:u w:val="single"/>
            <w:shd w:fill="FFFFFF" w:val="clear"/>
          </w:rPr>
          <w:t xml:space="preserve">.</w:t>
        </w:r>
        <w:r>
          <w:rPr>
            <w:rFonts w:ascii="Times New Roman" w:hAnsi="Times New Roman" w:cs="Times New Roman" w:eastAsia="Times New Roman"/>
            <w:vanish/>
            <w:color w:val="000000"/>
            <w:spacing w:val="0"/>
            <w:position w:val="0"/>
            <w:sz w:val="28"/>
            <w:u w:val="single"/>
            <w:shd w:fill="FFFFFF" w:val="clear"/>
          </w:rPr>
          <w:t xml:space="preserve">HYPERLINK "mailto:natalija.valuewa@yandex.ru"</w:t>
        </w:r>
        <w:r>
          <w:rPr>
            <w:rFonts w:ascii="Times New Roman" w:hAnsi="Times New Roman" w:cs="Times New Roman" w:eastAsia="Times New Roman"/>
            <w:color w:val="000000"/>
            <w:spacing w:val="0"/>
            <w:position w:val="0"/>
            <w:sz w:val="28"/>
            <w:u w:val="single"/>
            <w:shd w:fill="FFFFFF" w:val="clear"/>
          </w:rPr>
          <w:t xml:space="preserve">ru</w:t>
        </w:r>
      </w:hyperlink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  <w:t xml:space="preserve">Основные цели и задачи Конкурса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Конкурс направлен на достижение следующих целей:</w:t>
      </w:r>
    </w:p>
    <w:p>
      <w:pPr>
        <w:numPr>
          <w:ilvl w:val="0"/>
          <w:numId w:val="10"/>
        </w:num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привлечение внимания к событиям времен Великой Отечественной Войны 1941-1945 года и роли героической обороны Тулы осенью-зимой 1941 года;</w:t>
      </w:r>
    </w:p>
    <w:p>
      <w:pPr>
        <w:numPr>
          <w:ilvl w:val="0"/>
          <w:numId w:val="10"/>
        </w:num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привлечение внимания к роли Русской Православной Церкви в 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событиях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 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Великой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 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Отечественной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 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войны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 (1941-1945</w:t>
      </w:r>
      <w:r>
        <w:rPr>
          <w:rFonts w:ascii="Arial" w:hAnsi="Arial" w:cs="Arial" w:eastAsia="Arial"/>
          <w:color w:val="333333"/>
          <w:spacing w:val="0"/>
          <w:position w:val="0"/>
          <w:sz w:val="26"/>
          <w:shd w:fill="FFFFFF" w:val="clear"/>
        </w:rPr>
        <w:t xml:space="preserve">);</w:t>
      </w:r>
    </w:p>
    <w:p>
      <w:pPr>
        <w:numPr>
          <w:ilvl w:val="0"/>
          <w:numId w:val="10"/>
        </w:num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восстановление исторической правды и сохранение памяти о подвиге  русского народа в борьбе с фашизмом;</w:t>
      </w:r>
    </w:p>
    <w:p>
      <w:pPr>
        <w:numPr>
          <w:ilvl w:val="0"/>
          <w:numId w:val="10"/>
        </w:num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духовное просвещение, нравственное и патриотическое воспитание подрастающего поколения;</w:t>
      </w:r>
    </w:p>
    <w:p>
      <w:pPr>
        <w:numPr>
          <w:ilvl w:val="0"/>
          <w:numId w:val="10"/>
        </w:num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развитие интереса к истории Российского государства;</w:t>
      </w:r>
    </w:p>
    <w:p>
      <w:pPr>
        <w:numPr>
          <w:ilvl w:val="0"/>
          <w:numId w:val="10"/>
        </w:num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формирование потребности детей и подростков в изобразительном творчестве, поддержка одаренных детей;</w:t>
      </w:r>
    </w:p>
    <w:p>
      <w:pPr>
        <w:numPr>
          <w:ilvl w:val="0"/>
          <w:numId w:val="10"/>
        </w:num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создание площадки для творческого общения детей и юношества.</w:t>
      </w:r>
    </w:p>
    <w:p>
      <w:pPr>
        <w:numPr>
          <w:ilvl w:val="0"/>
          <w:numId w:val="10"/>
        </w:num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формирование потребности детей и подростков в изобразительном творчестве, поддержка одаренных детей;</w:t>
      </w:r>
    </w:p>
    <w:p>
      <w:pPr>
        <w:numPr>
          <w:ilvl w:val="0"/>
          <w:numId w:val="10"/>
        </w:numPr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создание площадки для творческого общения детей и юношества.</w:t>
      </w:r>
    </w:p>
    <w:p>
      <w:pPr>
        <w:spacing w:before="0" w:after="0" w:line="240"/>
        <w:ind w:right="0" w:left="54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54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  <w:t xml:space="preserve">Участники Конкурса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К участию в Конкурсе приглашаются дети в возрасте от 5-ти до 18-и лет, в том числе учащиеся общеобразовательных (средних), средне - специальных учебных заведений, учреждений дополнительного образования, воскресных школ, воспитанники дошкольных и других детских учреждений России и стран зарубежья.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Palatino" w:hAnsi="Palatino" w:cs="Palatino" w:eastAsia="Palatino"/>
          <w:color w:val="212529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Количество представляемых работ от одного участника не ограничено</w:t>
      </w:r>
      <w:r>
        <w:rPr>
          <w:rFonts w:ascii="Palatino" w:hAnsi="Palatino" w:cs="Palatino" w:eastAsia="Palatino"/>
          <w:color w:val="212529"/>
          <w:spacing w:val="0"/>
          <w:position w:val="0"/>
          <w:sz w:val="28"/>
          <w:shd w:fill="FFFFFF" w:val="clear"/>
        </w:rPr>
        <w:t xml:space="preserve">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Участники Конкурса делятся на следующие возрастные категории:</w:t>
      </w:r>
    </w:p>
    <w:p>
      <w:pPr>
        <w:numPr>
          <w:ilvl w:val="0"/>
          <w:numId w:val="13"/>
        </w:numPr>
        <w:spacing w:before="0" w:after="0" w:line="240"/>
        <w:ind w:right="0" w:left="786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первая возрастная категория (5-6 лет);</w:t>
      </w:r>
    </w:p>
    <w:p>
      <w:pPr>
        <w:numPr>
          <w:ilvl w:val="0"/>
          <w:numId w:val="13"/>
        </w:numPr>
        <w:spacing w:before="0" w:after="0" w:line="240"/>
        <w:ind w:right="0" w:left="786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вторая возрастная категория (7-9 лет);</w:t>
      </w:r>
    </w:p>
    <w:p>
      <w:pPr>
        <w:numPr>
          <w:ilvl w:val="0"/>
          <w:numId w:val="13"/>
        </w:numPr>
        <w:spacing w:before="0" w:after="0" w:line="240"/>
        <w:ind w:right="0" w:left="786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третья возрастная категория (10-12 лет);</w:t>
      </w:r>
    </w:p>
    <w:p>
      <w:pPr>
        <w:numPr>
          <w:ilvl w:val="0"/>
          <w:numId w:val="13"/>
        </w:numPr>
        <w:spacing w:before="0" w:after="0" w:line="240"/>
        <w:ind w:right="0" w:left="786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четвертая возрастная категория (13-15 лет);</w:t>
      </w:r>
    </w:p>
    <w:p>
      <w:pPr>
        <w:numPr>
          <w:ilvl w:val="0"/>
          <w:numId w:val="13"/>
        </w:numPr>
        <w:spacing w:before="0" w:after="0" w:line="240"/>
        <w:ind w:right="0" w:left="786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пятая возрастная категория (16-18 лет).</w:t>
      </w:r>
    </w:p>
    <w:p>
      <w:pPr>
        <w:spacing w:before="0" w:after="0" w:line="240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45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Участники (их законные представители), принимая участие в Конкурсе, соглашаются с правилами проведения Конкурса, изложенными в настоящем Положении.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  <w:t xml:space="preserve">Номинации Конкурса</w:t>
      </w:r>
    </w:p>
    <w:p>
      <w:pPr>
        <w:numPr>
          <w:ilvl w:val="0"/>
          <w:numId w:val="17"/>
        </w:numPr>
        <w:spacing w:before="0" w:after="0" w:line="240"/>
        <w:ind w:right="0" w:left="785" w:hanging="360"/>
        <w:jc w:val="left"/>
        <w:rPr>
          <w:rFonts w:ascii="Times New Roman" w:hAnsi="Times New Roman" w:cs="Times New Roman" w:eastAsia="Times New Roman"/>
          <w:color w:val="FF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Места воинской славы на Тульской земле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»;</w:t>
      </w:r>
    </w:p>
    <w:p>
      <w:pPr>
        <w:numPr>
          <w:ilvl w:val="0"/>
          <w:numId w:val="17"/>
        </w:numPr>
        <w:spacing w:before="0" w:after="0" w:line="240"/>
        <w:ind w:right="0" w:left="785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Все для фронта, все для победы! Подвиг тружеников тыла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»;</w:t>
      </w:r>
    </w:p>
    <w:p>
      <w:pPr>
        <w:numPr>
          <w:ilvl w:val="0"/>
          <w:numId w:val="17"/>
        </w:numPr>
        <w:spacing w:before="0" w:after="0" w:line="240"/>
        <w:ind w:right="0" w:left="785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Дети – герои Великой Отечественной Войны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»;</w:t>
      </w:r>
    </w:p>
    <w:p>
      <w:pPr>
        <w:numPr>
          <w:ilvl w:val="0"/>
          <w:numId w:val="17"/>
        </w:numPr>
        <w:spacing w:before="0" w:after="0" w:line="240"/>
        <w:ind w:right="0" w:left="785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Тула во время осадного положения 1941 года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»;</w:t>
      </w:r>
    </w:p>
    <w:p>
      <w:pPr>
        <w:numPr>
          <w:ilvl w:val="0"/>
          <w:numId w:val="17"/>
        </w:numPr>
        <w:spacing w:before="0" w:after="0" w:line="240"/>
        <w:ind w:right="0" w:left="785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Подвиг военных медиков – врачей,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фельдшеров, медсестёр, санинструкторов, санитаров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»;</w:t>
      </w:r>
    </w:p>
    <w:p>
      <w:pPr>
        <w:numPr>
          <w:ilvl w:val="0"/>
          <w:numId w:val="17"/>
        </w:numPr>
        <w:spacing w:before="0" w:after="0" w:line="240"/>
        <w:ind w:right="0" w:left="785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Молитва и вера –духовная опора во времена испытаний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»;</w:t>
      </w:r>
    </w:p>
    <w:p>
      <w:pPr>
        <w:numPr>
          <w:ilvl w:val="0"/>
          <w:numId w:val="17"/>
        </w:numPr>
        <w:spacing w:before="0" w:after="0" w:line="240"/>
        <w:ind w:right="0" w:left="785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Православная Церковь во время Великой Отечественной Войны. Подвиги духовенства и мирян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»</w:t>
      </w:r>
    </w:p>
    <w:p>
      <w:pPr>
        <w:numPr>
          <w:ilvl w:val="0"/>
          <w:numId w:val="17"/>
        </w:numPr>
        <w:spacing w:before="0" w:after="0" w:line="240"/>
        <w:ind w:right="0" w:left="785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Святые заступники Земли Русской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»;</w:t>
      </w:r>
    </w:p>
    <w:p>
      <w:pPr>
        <w:numPr>
          <w:ilvl w:val="0"/>
          <w:numId w:val="17"/>
        </w:numPr>
        <w:spacing w:before="0" w:after="0" w:line="240"/>
        <w:ind w:right="0" w:left="785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Города-герои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».</w:t>
      </w:r>
    </w:p>
    <w:p>
      <w:pPr>
        <w:spacing w:before="0" w:after="0" w:line="240"/>
        <w:ind w:right="0" w:left="785" w:firstLine="0"/>
        <w:jc w:val="left"/>
        <w:rPr>
          <w:rFonts w:ascii="Times New Roman" w:hAnsi="Times New Roman" w:cs="Times New Roman" w:eastAsia="Times New Roman"/>
          <w:color w:val="FF0000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720" w:firstLine="0"/>
        <w:jc w:val="left"/>
        <w:rPr>
          <w:rFonts w:ascii="Times New Roman" w:hAnsi="Times New Roman" w:cs="Times New Roman" w:eastAsia="Times New Roman"/>
          <w:color w:val="FF0000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Все работы, присланные на Конкурс, обратно не возвращаются и не рецензируются.</w:t>
      </w:r>
    </w:p>
    <w:p>
      <w:pPr>
        <w:spacing w:before="0" w:after="0" w:line="240"/>
        <w:ind w:right="0" w:left="785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Организаторы оставляют за собой право использования конкурсной работы на территории любого государства, начиная с момента ее предоставления на конкурс, с обязательным указанием автора работы.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FF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Настоящее Положение о Конкурсе публикуется на официальном сайте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Тульской епархии</w:t>
      </w:r>
      <w:hyperlink xmlns:r="http://schemas.openxmlformats.org/officeDocument/2006/relationships" r:id="docRId1">
        <w:r>
          <w:rPr>
            <w:rFonts w:ascii="Times New Roman" w:hAnsi="Times New Roman" w:cs="Times New Roman" w:eastAsia="Times New Roman"/>
            <w:color w:val="000000"/>
            <w:spacing w:val="0"/>
            <w:position w:val="0"/>
            <w:sz w:val="28"/>
            <w:u w:val="single"/>
            <w:shd w:fill="FFFFFF" w:val="clear"/>
          </w:rPr>
          <w:t xml:space="preserve">,</w:t>
        </w:r>
      </w:hyperlink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странице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отдела по культуре Тульской епархии.</w:t>
      </w:r>
    </w:p>
    <w:p>
      <w:pPr>
        <w:spacing w:before="0" w:after="45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  <w:t xml:space="preserve">Условия Конкурса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Конкурс в области детского творчества проводится в три этапа:</w:t>
      </w:r>
    </w:p>
    <w:p>
      <w:pPr>
        <w:numPr>
          <w:ilvl w:val="0"/>
          <w:numId w:val="26"/>
        </w:numPr>
        <w:spacing w:before="0" w:after="0" w:line="240"/>
        <w:ind w:right="0" w:left="785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первый этап: 1 октября – 1 декабря 2026 года включительно                               </w:t>
      </w:r>
    </w:p>
    <w:p>
      <w:pPr>
        <w:spacing w:before="0" w:after="0" w:line="240"/>
        <w:ind w:right="0" w:left="121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прием конкурсных работ;</w:t>
      </w:r>
    </w:p>
    <w:p>
      <w:pPr>
        <w:numPr>
          <w:ilvl w:val="0"/>
          <w:numId w:val="28"/>
        </w:numPr>
        <w:spacing w:before="0" w:after="0" w:line="240"/>
        <w:ind w:right="0" w:left="785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второй этап: 1 декабря – 10 декабря 2026 года включительно</w:t>
      </w:r>
    </w:p>
    <w:p>
      <w:pPr>
        <w:spacing w:before="0" w:after="0" w:line="240"/>
        <w:ind w:right="0" w:left="785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    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работа конкурсного жюри;</w:t>
      </w:r>
    </w:p>
    <w:p>
      <w:pPr>
        <w:numPr>
          <w:ilvl w:val="0"/>
          <w:numId w:val="30"/>
        </w:numPr>
        <w:spacing w:before="0" w:after="0" w:line="240"/>
        <w:ind w:right="0" w:left="785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третий этап: 15 - 20декабря 2026 года включительно</w:t>
      </w:r>
    </w:p>
    <w:p>
      <w:pPr>
        <w:spacing w:before="0" w:after="0" w:line="240"/>
        <w:ind w:right="0" w:left="785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   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награждение победителей и призеров Конкурса.</w:t>
      </w:r>
    </w:p>
    <w:p>
      <w:pPr>
        <w:spacing w:before="0" w:after="0" w:line="240"/>
        <w:ind w:right="0" w:left="720" w:firstLine="0"/>
        <w:jc w:val="left"/>
        <w:rPr>
          <w:rFonts w:ascii="Times New Roman" w:hAnsi="Times New Roman" w:cs="Times New Roman" w:eastAsia="Times New Roman"/>
          <w:color w:val="FF0000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72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  <w:t xml:space="preserve">Требования к конкурсным работам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К участию в конкурсе принимаются только оригинальные подлинные работы, выполненные участниками Конкурса.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Работы, представленные на Конкурс, должны соответствовать тематике.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Конкурсные работы могут быть выполнены в различных жанрах и видах художественного творчества – фотография, живописный или графический  рисунок, объемная композиция, аппликация, рельеф, лоскутное шитье, коллаж, вышивка, выжигание и резьба по дереву, папье-маше и другие.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Живописные или графические работы могут быть выполнены в следующих техниках: гуашь, масло, темпера, акрил, акварель, графитный или цветной карандаш, фломастер, пастель, тушь, уголь, сангина, гелевая или шариковая ручка, батик, смешанная техника.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 случае отправки конкурсных работ почтой или транспортной компанией хрупких предметов, их упаковку, гарантирующую сохранность обеспечивает отправитель.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Работы, выполненные сухой пастелью или углем должны быть закреплены фиксативом.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Рисунки, представленные на Конкурс, могут быть любого формата, но не более формата А1.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54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54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  <w:t xml:space="preserve">Правила оформления конкурсных работ и порядок их представления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Работы предоставляются на Конкурс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  <w:t xml:space="preserve"> не позднее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 10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  <w:t xml:space="preserve"> декабря 2026 года.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  <w:t xml:space="preserve">Работы, представленные на конкурс, принимаются отделом по культуре Тульской епархии по адресу: </w:t>
      </w: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FFFFFF" w:val="clear"/>
        </w:rPr>
        <w:t xml:space="preserve">300041</w:t>
      </w:r>
      <w:r>
        <w:rPr>
          <w:rFonts w:ascii="Times New Roman" w:hAnsi="Times New Roman" w:cs="Times New Roman" w:eastAsia="Times New Roman"/>
          <w:color w:val="333333"/>
          <w:spacing w:val="0"/>
          <w:position w:val="0"/>
          <w:sz w:val="28"/>
          <w:shd w:fill="FFFFFF" w:val="clear"/>
        </w:rPr>
        <w:t xml:space="preserve">,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  <w:t xml:space="preserve">г. Тула, ул. Пионерская/Войкова, д. 17/26 (Николо-Владимирский храм).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8"/>
          <w:shd w:fill="auto" w:val="clear"/>
        </w:rPr>
        <w:t xml:space="preserve">Каждая работа обязательно сопровождается заявкой на участие в Конкурсе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 (в бумажном и электронном виде с пометкой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Конкурс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Дети -царской семье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»)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заполненной в следующей форме:</w:t>
      </w:r>
    </w:p>
    <w:p>
      <w:pPr>
        <w:spacing w:before="0" w:after="0" w:line="240"/>
        <w:ind w:right="0" w:left="862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</w:p>
    <w:tbl>
      <w:tblPr/>
      <w:tblGrid>
        <w:gridCol w:w="1000"/>
        <w:gridCol w:w="1199"/>
        <w:gridCol w:w="1848"/>
        <w:gridCol w:w="1658"/>
        <w:gridCol w:w="1740"/>
        <w:gridCol w:w="1839"/>
      </w:tblGrid>
      <w:tr>
        <w:trPr>
          <w:trHeight w:val="1" w:hRule="atLeast"/>
          <w:jc w:val="center"/>
        </w:trPr>
        <w:tc>
          <w:tcPr>
            <w:tcW w:w="9284" w:type="dxa"/>
            <w:gridSpan w:val="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1688" w:leader="none"/>
                <w:tab w:val="center" w:pos="4677" w:leader="none"/>
              </w:tabs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Заявка на участие в Конкурсе</w:t>
            </w:r>
          </w:p>
          <w:p>
            <w:pPr>
              <w:tabs>
                <w:tab w:val="left" w:pos="1688" w:leader="none"/>
                <w:tab w:val="center" w:pos="4677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ЗАЩИТНИКИ РОДИНЫ. ПОДВИГИ НА ФРОНТЕ И В ТЫЛУ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FFFFFF" w:val="clear"/>
              </w:rPr>
              <w:t xml:space="preserve">»</w:t>
            </w:r>
          </w:p>
        </w:tc>
      </w:tr>
      <w:tr>
        <w:trPr>
          <w:trHeight w:val="1" w:hRule="atLeast"/>
          <w:jc w:val="center"/>
        </w:trPr>
        <w:tc>
          <w:tcPr>
            <w:tcW w:w="100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ФИ автора</w:t>
            </w:r>
          </w:p>
        </w:tc>
        <w:tc>
          <w:tcPr>
            <w:tcW w:w="119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Возраст</w:t>
            </w:r>
          </w:p>
        </w:tc>
        <w:tc>
          <w:tcPr>
            <w:tcW w:w="184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Страна, населенный пункт, ЦО/ЦРР/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воскресная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школа</w:t>
            </w:r>
          </w:p>
        </w:tc>
        <w:tc>
          <w:tcPr>
            <w:tcW w:w="165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Номинация, название работы, материал</w:t>
            </w:r>
          </w:p>
        </w:tc>
        <w:tc>
          <w:tcPr>
            <w:tcW w:w="17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ФИО педагога (наставника)</w:t>
            </w:r>
          </w:p>
        </w:tc>
        <w:tc>
          <w:tcPr>
            <w:tcW w:w="18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8"/>
                <w:shd w:fill="auto" w:val="clear"/>
              </w:rPr>
              <w:t xml:space="preserve">Контактный телефон, почтовый адрес, адрес электронной почты</w:t>
            </w:r>
          </w:p>
        </w:tc>
      </w:tr>
      <w:tr>
        <w:trPr>
          <w:trHeight w:val="1" w:hRule="atLeast"/>
          <w:jc w:val="center"/>
        </w:trPr>
        <w:tc>
          <w:tcPr>
            <w:tcW w:w="100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5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100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5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1352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Работы, не соответствующие заявленной тематике, не допускаются к участию в Конкурсе.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54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  <w:t xml:space="preserve">Критерии оценки работ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Работы, представленные на Конкурс, оцениваются по следующим критериям:</w:t>
      </w:r>
    </w:p>
    <w:p>
      <w:pPr>
        <w:numPr>
          <w:ilvl w:val="0"/>
          <w:numId w:val="55"/>
        </w:numPr>
        <w:spacing w:before="0" w:after="0" w:line="240"/>
        <w:ind w:right="0" w:left="785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художественное исполнение,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 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умение применять выразительные средства иллюстрации для достижения замысла (линию, пятно, штрих, композицию, др.);</w:t>
      </w:r>
    </w:p>
    <w:p>
      <w:pPr>
        <w:numPr>
          <w:ilvl w:val="0"/>
          <w:numId w:val="55"/>
        </w:numPr>
        <w:spacing w:before="0" w:after="0" w:line="240"/>
        <w:ind w:right="0" w:left="785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оригинальность творческого замысла;</w:t>
      </w:r>
    </w:p>
    <w:p>
      <w:pPr>
        <w:numPr>
          <w:ilvl w:val="0"/>
          <w:numId w:val="55"/>
        </w:numPr>
        <w:spacing w:before="0" w:after="0" w:line="240"/>
        <w:ind w:right="0" w:left="785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гармоничность цветового решения;</w:t>
      </w:r>
    </w:p>
    <w:p>
      <w:pPr>
        <w:numPr>
          <w:ilvl w:val="0"/>
          <w:numId w:val="55"/>
        </w:numPr>
        <w:spacing w:before="0" w:after="0" w:line="240"/>
        <w:ind w:right="0" w:left="785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творческая самостоятельность в раскрытии темы;</w:t>
      </w:r>
    </w:p>
    <w:p>
      <w:pPr>
        <w:numPr>
          <w:ilvl w:val="0"/>
          <w:numId w:val="55"/>
        </w:numPr>
        <w:spacing w:before="0" w:after="0" w:line="240"/>
        <w:ind w:right="0" w:left="785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внимательность к деталям быта, исторического костюма;</w:t>
      </w:r>
    </w:p>
    <w:p>
      <w:pPr>
        <w:numPr>
          <w:ilvl w:val="0"/>
          <w:numId w:val="55"/>
        </w:numPr>
        <w:spacing w:before="0" w:after="0" w:line="240"/>
        <w:ind w:right="0" w:left="785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внимательность к историческим деталям.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54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Состав жюри Конкурса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Председатель жюри Конкурса: </w:t>
      </w:r>
    </w:p>
    <w:p>
      <w:pPr>
        <w:numPr>
          <w:ilvl w:val="0"/>
          <w:numId w:val="59"/>
        </w:numPr>
        <w:spacing w:before="0" w:after="0" w:line="240"/>
        <w:ind w:right="0" w:left="785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член правления Тульского областного отделения ВТОО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Союз художников России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художник-реставратор В. В. Снытин.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Состав жюри Конкурса:</w:t>
      </w:r>
    </w:p>
    <w:p>
      <w:pPr>
        <w:numPr>
          <w:ilvl w:val="0"/>
          <w:numId w:val="61"/>
        </w:numPr>
        <w:spacing w:before="0" w:after="0" w:line="240"/>
        <w:ind w:right="0" w:left="785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председатель отдела по культуре Тульской епархии протоиерей Матфей Валуев;</w:t>
      </w:r>
    </w:p>
    <w:p>
      <w:pPr>
        <w:numPr>
          <w:ilvl w:val="0"/>
          <w:numId w:val="61"/>
        </w:numPr>
        <w:spacing w:before="0" w:after="0" w:line="240"/>
        <w:ind w:right="0" w:left="785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кандидат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исторических наук, проректор по научно-богословской  работе ТулДС, доцент кафедры теологии ТулГУ священник Николай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Евсеев;</w:t>
      </w:r>
    </w:p>
    <w:p>
      <w:pPr>
        <w:numPr>
          <w:ilvl w:val="0"/>
          <w:numId w:val="61"/>
        </w:numPr>
        <w:spacing w:before="0" w:after="0" w:line="240"/>
        <w:ind w:right="0" w:left="785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член Международного союза педагогов-художников, директор епархиального культурно-просветительского центра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Фавор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Н. Г. Валуева.</w:t>
      </w:r>
    </w:p>
    <w:p>
      <w:pPr>
        <w:spacing w:before="0" w:after="0" w:line="240"/>
        <w:ind w:right="0" w:left="567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54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Подведение итогов и награждение победителей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 итогам работы жюри:</w:t>
      </w:r>
    </w:p>
    <w:p>
      <w:pPr>
        <w:numPr>
          <w:ilvl w:val="0"/>
          <w:numId w:val="65"/>
        </w:numPr>
        <w:spacing w:before="0" w:after="0" w:line="240"/>
        <w:ind w:right="0" w:left="785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определяются победители Конкурса:</w:t>
      </w:r>
    </w:p>
    <w:p>
      <w:pPr>
        <w:spacing w:before="0" w:after="0" w:line="240"/>
        <w:ind w:right="0" w:left="927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 три победителя в каждой возрастной группе (1-е, 2-е, 3-е место);</w:t>
      </w:r>
    </w:p>
    <w:p>
      <w:pPr>
        <w:numPr>
          <w:ilvl w:val="0"/>
          <w:numId w:val="67"/>
        </w:numPr>
        <w:spacing w:before="0" w:after="0" w:line="240"/>
        <w:ind w:right="0" w:left="785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составляется протокол работы жюри со списком победителей и призеров Конкурса.</w:t>
      </w:r>
    </w:p>
    <w:p>
      <w:pPr>
        <w:numPr>
          <w:ilvl w:val="0"/>
          <w:numId w:val="67"/>
        </w:numPr>
        <w:spacing w:before="0" w:after="0" w:line="240"/>
        <w:ind w:right="0" w:left="785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жюри оставляет за сбой право присуждения специальных наград.</w:t>
      </w:r>
    </w:p>
    <w:p>
      <w:pPr>
        <w:numPr>
          <w:ilvl w:val="0"/>
          <w:numId w:val="67"/>
        </w:numPr>
        <w:spacing w:before="0" w:after="0" w:line="240"/>
        <w:ind w:right="0" w:left="785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списки победителей конкурса и итоги конкурса публикуются на официальном сайте Тульской епархии https://tulaeparhia.ru/ и странице отдела по культуре Тульской епархии. </w:t>
      </w:r>
    </w:p>
    <w:p>
      <w:pPr>
        <w:numPr>
          <w:ilvl w:val="0"/>
          <w:numId w:val="67"/>
        </w:numPr>
        <w:spacing w:before="0" w:after="0" w:line="240"/>
        <w:ind w:right="0" w:left="785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из лучших работ, представленных на Конкурс, организуется выставка, о дате и месте проведения которой, будет сообщено дополнительно. </w:t>
      </w:r>
    </w:p>
    <w:p>
      <w:pPr>
        <w:spacing w:before="0" w:after="0" w:line="240"/>
        <w:ind w:right="0" w:left="927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Все участники Конкурса и их педагоги награждаются благодарственными письмами.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Победители и призеры Конкурса награждаются ценными подарками и призами.</w:t>
      </w:r>
    </w:p>
    <w:p>
      <w:pPr>
        <w:spacing w:before="0" w:after="0" w:line="240"/>
        <w:ind w:right="0" w:left="54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54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Дополнительная информация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За получением дополнительной информации о конкурсе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обращаться по телефону: 8(4872) 58-30-10,  </w:t>
      </w:r>
      <w:hyperlink xmlns:r="http://schemas.openxmlformats.org/officeDocument/2006/relationships" r:id="docRId2">
        <w:r>
          <w:rPr>
            <w:rFonts w:ascii="Times New Roman" w:hAnsi="Times New Roman" w:cs="Times New Roman" w:eastAsia="Times New Roman"/>
            <w:color w:val="000000"/>
            <w:spacing w:val="0"/>
            <w:position w:val="0"/>
            <w:sz w:val="28"/>
            <w:u w:val="single"/>
            <w:shd w:fill="FFFFFF" w:val="clear"/>
          </w:rPr>
          <w:t xml:space="preserve">natalija.valuewa@ya</w:t>
        </w:r>
        <w:r>
          <w:rPr>
            <w:rFonts w:ascii="Times New Roman" w:hAnsi="Times New Roman" w:cs="Times New Roman" w:eastAsia="Times New Roman"/>
            <w:vanish/>
            <w:color w:val="000000"/>
            <w:spacing w:val="0"/>
            <w:position w:val="0"/>
            <w:sz w:val="28"/>
            <w:u w:val="single"/>
            <w:shd w:fill="FFFFFF" w:val="clear"/>
          </w:rPr>
          <w:t xml:space="preserve">HYPERLINK "mailto:natalija.valuewa@yandex.ru"</w:t>
        </w:r>
        <w:r>
          <w:rPr>
            <w:rFonts w:ascii="Times New Roman" w:hAnsi="Times New Roman" w:cs="Times New Roman" w:eastAsia="Times New Roman"/>
            <w:color w:val="000000"/>
            <w:spacing w:val="0"/>
            <w:position w:val="0"/>
            <w:sz w:val="28"/>
            <w:u w:val="single"/>
            <w:shd w:fill="FFFFFF" w:val="clear"/>
          </w:rPr>
          <w:t xml:space="preserve">ndex</w:t>
        </w:r>
        <w:r>
          <w:rPr>
            <w:rFonts w:ascii="Times New Roman" w:hAnsi="Times New Roman" w:cs="Times New Roman" w:eastAsia="Times New Roman"/>
            <w:vanish/>
            <w:color w:val="000000"/>
            <w:spacing w:val="0"/>
            <w:position w:val="0"/>
            <w:sz w:val="28"/>
            <w:u w:val="single"/>
            <w:shd w:fill="FFFFFF" w:val="clear"/>
          </w:rPr>
          <w:t xml:space="preserve">HYPERLINK "mailto:natalija.valuewa@yandex.ru"</w:t>
        </w:r>
        <w:r>
          <w:rPr>
            <w:rFonts w:ascii="Times New Roman" w:hAnsi="Times New Roman" w:cs="Times New Roman" w:eastAsia="Times New Roman"/>
            <w:color w:val="000000"/>
            <w:spacing w:val="0"/>
            <w:position w:val="0"/>
            <w:sz w:val="28"/>
            <w:u w:val="single"/>
            <w:shd w:fill="FFFFFF" w:val="clear"/>
          </w:rPr>
          <w:t xml:space="preserve">.</w:t>
        </w:r>
        <w:r>
          <w:rPr>
            <w:rFonts w:ascii="Times New Roman" w:hAnsi="Times New Roman" w:cs="Times New Roman" w:eastAsia="Times New Roman"/>
            <w:vanish/>
            <w:color w:val="000000"/>
            <w:spacing w:val="0"/>
            <w:position w:val="0"/>
            <w:sz w:val="28"/>
            <w:u w:val="single"/>
            <w:shd w:fill="FFFFFF" w:val="clear"/>
          </w:rPr>
          <w:t xml:space="preserve">HYPERLINK "mailto:natalija.valuewa@yandex.ru"</w:t>
        </w:r>
        <w:r>
          <w:rPr>
            <w:rFonts w:ascii="Times New Roman" w:hAnsi="Times New Roman" w:cs="Times New Roman" w:eastAsia="Times New Roman"/>
            <w:color w:val="000000"/>
            <w:spacing w:val="0"/>
            <w:position w:val="0"/>
            <w:sz w:val="28"/>
            <w:u w:val="single"/>
            <w:shd w:fill="FFFFFF" w:val="clear"/>
          </w:rPr>
          <w:t xml:space="preserve">ru</w:t>
        </w:r>
      </w:hyperlink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FFFFFF" w:val="clear"/>
        </w:rPr>
        <w:t xml:space="preserve">Валуева Наталия Геннадьевна. </w:t>
      </w: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567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abstractNum w:abstractNumId="36">
    <w:lvl w:ilvl="0">
      <w:start w:val="1"/>
      <w:numFmt w:val="bullet"/>
      <w:lvlText w:val="•"/>
    </w:lvl>
  </w:abstractNum>
  <w:abstractNum w:abstractNumId="42">
    <w:lvl w:ilvl="0">
      <w:start w:val="1"/>
      <w:numFmt w:val="bullet"/>
      <w:lvlText w:val="•"/>
    </w:lvl>
  </w:abstractNum>
  <w:abstractNum w:abstractNumId="48">
    <w:lvl w:ilvl="0">
      <w:start w:val="1"/>
      <w:numFmt w:val="bullet"/>
      <w:lvlText w:val="•"/>
    </w:lvl>
  </w:abstractNum>
  <w:abstractNum w:abstractNumId="54">
    <w:lvl w:ilvl="0">
      <w:start w:val="1"/>
      <w:numFmt w:val="bullet"/>
      <w:lvlText w:val="•"/>
    </w:lvl>
  </w:abstractNum>
  <w:abstractNum w:abstractNumId="60">
    <w:lvl w:ilvl="0">
      <w:start w:val="1"/>
      <w:numFmt w:val="bullet"/>
      <w:lvlText w:val="•"/>
    </w:lvl>
  </w:abstractNum>
  <w:abstractNum w:abstractNumId="66">
    <w:lvl w:ilvl="0">
      <w:start w:val="1"/>
      <w:numFmt w:val="bullet"/>
      <w:lvlText w:val="•"/>
    </w:lvl>
  </w:abstractNum>
  <w:num w:numId="6">
    <w:abstractNumId w:val="66"/>
  </w:num>
  <w:num w:numId="10">
    <w:abstractNumId w:val="60"/>
  </w:num>
  <w:num w:numId="13">
    <w:abstractNumId w:val="54"/>
  </w:num>
  <w:num w:numId="17">
    <w:abstractNumId w:val="48"/>
  </w:num>
  <w:num w:numId="26">
    <w:abstractNumId w:val="42"/>
  </w:num>
  <w:num w:numId="28">
    <w:abstractNumId w:val="36"/>
  </w:num>
  <w:num w:numId="30">
    <w:abstractNumId w:val="30"/>
  </w:num>
  <w:num w:numId="55">
    <w:abstractNumId w:val="24"/>
  </w:num>
  <w:num w:numId="59">
    <w:abstractNumId w:val="18"/>
  </w:num>
  <w:num w:numId="61">
    <w:abstractNumId w:val="12"/>
  </w:num>
  <w:num w:numId="65">
    <w:abstractNumId w:val="6"/>
  </w:num>
  <w:num w:numId="67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Mode="External" Target="https://tulaeparhia.ru/&#1080;" Id="docRId1" Type="http://schemas.openxmlformats.org/officeDocument/2006/relationships/hyperlink"/><Relationship Target="numbering.xml" Id="docRId3" Type="http://schemas.openxmlformats.org/officeDocument/2006/relationships/numbering"/><Relationship TargetMode="External" Target="mailto:natalija.valuewa@yandex.ru" Id="docRId0" Type="http://schemas.openxmlformats.org/officeDocument/2006/relationships/hyperlink"/><Relationship TargetMode="External" Target="mailto:natalija.valuewa@yandex.ru" Id="docRId2" Type="http://schemas.openxmlformats.org/officeDocument/2006/relationships/hyperlink"/><Relationship Target="styles.xml" Id="docRId4" Type="http://schemas.openxmlformats.org/officeDocument/2006/relationships/styles"/></Relationships>
</file>